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6 Principles®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3–2–1 Uzbekistan!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 Objectives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Answer questions about a region in Uzbekistan.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questions about other regions in Uzbekistan.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Helpful Vocabulary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famous = many people know about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landmark = a famous place to visit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tourist = a person who travels for fun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Write the name of your assigned region of Uzbekistan.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 with your table-group to add the 3–2–1 information in the boxes.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Transfer all of the information to poster paper.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Prepare to </w:t>
      </w:r>
      <w:r w:rsidDel="00000000" w:rsidR="00000000" w:rsidRPr="00000000">
        <w:rPr>
          <w:b w:val="1"/>
          <w:rtl w:val="0"/>
        </w:rPr>
        <w:t xml:space="preserve">answer</w:t>
      </w:r>
      <w:r w:rsidDel="00000000" w:rsidR="00000000" w:rsidRPr="00000000">
        <w:rPr>
          <w:rtl w:val="0"/>
        </w:rPr>
        <w:t xml:space="preserve"> questions about your region and </w:t>
      </w:r>
      <w:r w:rsidDel="00000000" w:rsidR="00000000" w:rsidRPr="00000000">
        <w:rPr>
          <w:b w:val="1"/>
          <w:rtl w:val="0"/>
        </w:rPr>
        <w:t xml:space="preserve">ask</w:t>
      </w:r>
      <w:r w:rsidDel="00000000" w:rsidR="00000000" w:rsidRPr="00000000">
        <w:rPr>
          <w:rtl w:val="0"/>
        </w:rPr>
        <w:t xml:space="preserve"> questions about other groups’ regions. You can add drawings if you like.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Why Do People Travel to Uzbekistan?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Region _____________________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567113" cy="4153731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7113" cy="4153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40" w:lineRule="auto"/>
      <w:ind w:right="36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19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1A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1B">
    <w:pPr>
      <w:spacing w:line="240" w:lineRule="auto"/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RmD6FbMvOWfegrhglAyNWS9JbQ==">AMUW2mUg+JfcfVIsfztbjKtwEjs9xF88KhDtfze0uNmTaQWGXaliU1KXeyvgPaEq9x08oCoWg0E67o8nQoshfRshyWROdsEtRwP5BcfZV+dDeZ4qxPJvjO4=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