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5B32" w:rsidRDefault="00246609">
      <w:pPr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b/>
          <w:color w:val="FF0000"/>
          <w:sz w:val="32"/>
          <w:szCs w:val="32"/>
        </w:rPr>
        <w:t>TOT: Week 9 - Room 1 - Group 1</w:t>
      </w:r>
    </w:p>
    <w:p w:rsidR="00B75B32" w:rsidRDefault="00B75B32">
      <w:pPr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:rsidR="00B75B32" w:rsidRDefault="00246609">
      <w:pPr>
        <w:jc w:val="center"/>
        <w:rPr>
          <w:rFonts w:ascii="Calibri" w:eastAsia="Calibri" w:hAnsi="Calibri" w:cs="Calibri"/>
          <w:b/>
          <w:color w:val="38761D"/>
          <w:sz w:val="32"/>
          <w:szCs w:val="32"/>
        </w:rPr>
      </w:pPr>
      <w:r>
        <w:rPr>
          <w:rFonts w:ascii="Calibri" w:eastAsia="Calibri" w:hAnsi="Calibri" w:cs="Calibri"/>
          <w:b/>
          <w:color w:val="38761D"/>
          <w:sz w:val="32"/>
          <w:szCs w:val="32"/>
        </w:rPr>
        <w:t xml:space="preserve">See the Action Plan document for feedback about this workshop plan as well as your action plan. </w:t>
      </w:r>
    </w:p>
    <w:p w:rsidR="00B75B32" w:rsidRDefault="00246609">
      <w:pPr>
        <w:jc w:val="center"/>
        <w:rPr>
          <w:rFonts w:ascii="Calibri" w:eastAsia="Calibri" w:hAnsi="Calibri" w:cs="Calibri"/>
          <w:b/>
          <w:color w:val="38761D"/>
          <w:sz w:val="32"/>
          <w:szCs w:val="32"/>
        </w:rPr>
      </w:pPr>
      <w:r>
        <w:rPr>
          <w:rFonts w:ascii="Calibri" w:eastAsia="Calibri" w:hAnsi="Calibri" w:cs="Calibri"/>
          <w:b/>
          <w:color w:val="38761D"/>
          <w:sz w:val="32"/>
          <w:szCs w:val="32"/>
        </w:rPr>
        <w:t>~ From the George Mason University Academic Team</w:t>
      </w:r>
    </w:p>
    <w:p w:rsidR="00B75B32" w:rsidRDefault="00B75B32">
      <w:pPr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</w:p>
    <w:p w:rsidR="00B75B32" w:rsidRDefault="0024660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  <w:szCs w:val="32"/>
        </w:rPr>
        <w:t>Workshop Training Plan Template</w:t>
      </w:r>
    </w:p>
    <w:p w:rsidR="00B75B32" w:rsidRDefault="0024660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Workshop Title: Module 9- Facilitating discussions and debates </w:t>
      </w:r>
    </w:p>
    <w:p w:rsidR="00B75B32" w:rsidRDefault="002466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Workshop Description:</w:t>
      </w:r>
      <w:r>
        <w:rPr>
          <w:rFonts w:ascii="Calibri" w:eastAsia="Calibri" w:hAnsi="Calibri" w:cs="Calibri"/>
        </w:rPr>
        <w:t xml:space="preserve"> In this module, you will explore how discussions and debates can strengthen students’ language proficiency and confidence. These are two forms of communication that also </w:t>
      </w:r>
      <w:r>
        <w:rPr>
          <w:rFonts w:ascii="Calibri" w:eastAsia="Calibri" w:hAnsi="Calibri" w:cs="Calibri"/>
        </w:rPr>
        <w:t>encourage critical thinking and build intercultural competence.</w:t>
      </w:r>
    </w:p>
    <w:tbl>
      <w:tblPr>
        <w:tblStyle w:val="a7"/>
        <w:tblW w:w="9855" w:type="dxa"/>
        <w:tblInd w:w="-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6505"/>
        <w:gridCol w:w="215"/>
        <w:gridCol w:w="975"/>
      </w:tblGrid>
      <w:tr w:rsidR="00064A8A" w:rsidTr="00064A8A">
        <w:trPr>
          <w:trHeight w:val="605"/>
        </w:trPr>
        <w:tc>
          <w:tcPr>
            <w:tcW w:w="8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Gagné’s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Nine Events of Instruction</w:t>
            </w:r>
          </w:p>
        </w:tc>
        <w:tc>
          <w:tcPr>
            <w:tcW w:w="119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:rsidR="00064A8A" w:rsidRDefault="00064A8A" w:rsidP="00064A8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Time</w:t>
            </w:r>
          </w:p>
        </w:tc>
      </w:tr>
      <w:tr w:rsidR="00064A8A" w:rsidTr="00064A8A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Gain attention</w:t>
            </w:r>
          </w:p>
        </w:tc>
        <w:tc>
          <w:tcPr>
            <w:tcW w:w="650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Topic: Should schools require students to wear uniforms?</w:t>
            </w:r>
          </w:p>
          <w:p w:rsidR="00064A8A" w:rsidRDefault="00064A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Activity: “Four corners”: Agree/disagree/strongly agree/strongly disagree.</w:t>
            </w:r>
          </w:p>
          <w:p w:rsidR="00064A8A" w:rsidRDefault="00064A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>
            <w:pPr>
              <w:rPr>
                <w:rFonts w:ascii="Calibri" w:eastAsia="Calibri" w:hAnsi="Calibri" w:cs="Calibri"/>
              </w:rPr>
            </w:pPr>
          </w:p>
          <w:p w:rsidR="00064A8A" w:rsidRDefault="00064A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064A8A" w:rsidRDefault="00064A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minutes </w:t>
            </w:r>
          </w:p>
        </w:tc>
      </w:tr>
      <w:tr w:rsidR="00064A8A" w:rsidTr="00064A8A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Inform learners of objectives</w:t>
            </w:r>
          </w:p>
        </w:tc>
        <w:tc>
          <w:tcPr>
            <w:tcW w:w="650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spacing w:line="397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By the end of this module, you will be able to:</w:t>
            </w:r>
          </w:p>
          <w:p w:rsidR="00064A8A" w:rsidRDefault="00064A8A">
            <w:pPr>
              <w:numPr>
                <w:ilvl w:val="0"/>
                <w:numId w:val="2"/>
              </w:numPr>
              <w:spacing w:before="200"/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</w:rPr>
              <w:t>describe the benefits of communicative language teaching through discussions and debates and how to use them in the EFL classroom</w:t>
            </w:r>
          </w:p>
          <w:p w:rsidR="00064A8A" w:rsidRDefault="00064A8A">
            <w:pPr>
              <w:numPr>
                <w:ilvl w:val="0"/>
                <w:numId w:val="2"/>
              </w:numPr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</w:rPr>
              <w:t>explore various cooperative learning and interactive language tasks and strategies that build language proficiency and a classroom discourse community</w:t>
            </w:r>
          </w:p>
          <w:p w:rsidR="00064A8A" w:rsidRDefault="00064A8A">
            <w:pPr>
              <w:numPr>
                <w:ilvl w:val="0"/>
                <w:numId w:val="2"/>
              </w:numPr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</w:rPr>
              <w:t>develop higher order thinking questions that encourage critical thinking in the classroom</w:t>
            </w:r>
          </w:p>
          <w:p w:rsidR="00064A8A" w:rsidRDefault="00064A8A">
            <w:pPr>
              <w:numPr>
                <w:ilvl w:val="0"/>
                <w:numId w:val="2"/>
              </w:numPr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</w:rPr>
              <w:t>design ways you plan to integrate and manage learning activities that support a communicative approach for language learning in your classroom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 minutes 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064A8A" w:rsidTr="00064A8A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Stimulate recall of prior learning</w:t>
            </w:r>
          </w:p>
        </w:tc>
        <w:tc>
          <w:tcPr>
            <w:tcW w:w="650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Pr="00064A8A" w:rsidRDefault="00064A8A" w:rsidP="00064A8A">
            <w:pPr>
              <w:spacing w:before="200"/>
              <w:ind w:left="1020"/>
              <w:rPr>
                <w:color w:val="212121"/>
              </w:rPr>
            </w:pPr>
            <w:r>
              <w:rPr>
                <w:color w:val="212121"/>
              </w:rPr>
              <w:t>Group discussion:</w:t>
            </w:r>
          </w:p>
          <w:p w:rsidR="00064A8A" w:rsidRDefault="00064A8A">
            <w:pPr>
              <w:numPr>
                <w:ilvl w:val="0"/>
                <w:numId w:val="1"/>
              </w:numPr>
              <w:spacing w:before="200"/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What do “discussions” and “debates” look like for you? How about in your classroom instruction?</w:t>
            </w:r>
          </w:p>
          <w:p w:rsidR="00064A8A" w:rsidRDefault="00064A8A">
            <w:pPr>
              <w:numPr>
                <w:ilvl w:val="0"/>
                <w:numId w:val="1"/>
              </w:numPr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How do you usually get students interested in discussing a new topic in your class?</w:t>
            </w:r>
          </w:p>
          <w:p w:rsidR="00064A8A" w:rsidRDefault="00064A8A">
            <w:pPr>
              <w:numPr>
                <w:ilvl w:val="0"/>
                <w:numId w:val="1"/>
              </w:numPr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lastRenderedPageBreak/>
              <w:t>How do you generally select the topics of discussion for class? Do students have any choice or input in selecting topics?</w:t>
            </w:r>
          </w:p>
          <w:p w:rsidR="00064A8A" w:rsidRDefault="00064A8A">
            <w:pPr>
              <w:numPr>
                <w:ilvl w:val="0"/>
                <w:numId w:val="1"/>
              </w:numPr>
              <w:ind w:left="1020"/>
              <w:rPr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t>What are your challenges and possible solutions for facilitating discussions and debates in your language classroom?</w:t>
            </w:r>
          </w:p>
          <w:p w:rsidR="00064A8A" w:rsidRDefault="00064A8A">
            <w:pPr>
              <w:rPr>
                <w:rFonts w:ascii="Calibri" w:eastAsia="Calibri" w:hAnsi="Calibri" w:cs="Calibri"/>
                <w:color w:val="212121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>
            <w:pPr>
              <w:rPr>
                <w:rFonts w:ascii="Calibri" w:eastAsia="Calibri" w:hAnsi="Calibri" w:cs="Calibri"/>
                <w:color w:val="212121"/>
              </w:rPr>
            </w:pPr>
            <w:r>
              <w:rPr>
                <w:rFonts w:ascii="Calibri" w:eastAsia="Calibri" w:hAnsi="Calibri" w:cs="Calibri"/>
                <w:color w:val="212121"/>
              </w:rPr>
              <w:lastRenderedPageBreak/>
              <w:t xml:space="preserve">25 minutes </w:t>
            </w:r>
          </w:p>
        </w:tc>
      </w:tr>
      <w:tr w:rsidR="00064A8A" w:rsidTr="00064A8A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Present the content</w:t>
            </w:r>
          </w:p>
        </w:tc>
        <w:tc>
          <w:tcPr>
            <w:tcW w:w="650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watch 3 videos for facilitating discussions and debates</w:t>
            </w:r>
          </w:p>
          <w:p w:rsidR="00064A8A" w:rsidRDefault="00064A8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provide a reading passage and to create HOT questions</w:t>
            </w:r>
          </w:p>
          <w:p w:rsidR="00064A8A" w:rsidRDefault="00064A8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apply “Tower Build “ activity for stimulating discussions</w:t>
            </w:r>
          </w:p>
          <w:p w:rsidR="00064A8A" w:rsidRDefault="00064A8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read the article and collect information through Jigsaw activity</w:t>
            </w:r>
          </w:p>
          <w:p w:rsidR="00064A8A" w:rsidRDefault="00064A8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>
            <w:pPr>
              <w:rPr>
                <w:rFonts w:ascii="Times New Roman" w:eastAsia="Times New Roman" w:hAnsi="Times New Roman" w:cs="Times New Roman"/>
              </w:rPr>
            </w:pPr>
          </w:p>
          <w:p w:rsidR="00064A8A" w:rsidRDefault="00064A8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50 minutes </w:t>
            </w:r>
          </w:p>
        </w:tc>
      </w:tr>
      <w:tr w:rsidR="00064A8A" w:rsidTr="00064A8A">
        <w:trPr>
          <w:trHeight w:val="115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</w:p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Guide learning </w:t>
            </w:r>
          </w:p>
        </w:tc>
        <w:tc>
          <w:tcPr>
            <w:tcW w:w="6505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One activity for stimulating discussions is called Tower Build. This conversation-based discussion activity gives students the opportunity to negotiate meaning and encourage one another to stay on the same topic. Put 3-4 students in one group to optimize participation and engagement. Give students cubes, such as Legos or another sort of stacking item, which they use to build a tower as they contribute to the conversation. When they add an idea, agree, disagree, or ask a question to a group member, they will add an item to their tower. One member of the group starts the conversation with a statement or question about a topic.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Topics can be prepared in advance. The goal is to keep the conversation going until no one has anything else to say. Each member will add a cube to the tower for contributing to the conversation. Students can be assigned a specific-colored cube and encouraged to use targeted vocabulary, grammatical structures, or expressions to add additional cubes to the tower. This activity can also be used as a formative assessment as a visual representation of students’ participation for their contribution to the tower they build. At the end of the activity, you can see whose tower is the highest in the class!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can work with stickers instead of cubes and build their towers on posters. There can be a picture of a tower on  stickers and </w:t>
            </w:r>
            <w:r>
              <w:rPr>
                <w:rFonts w:ascii="Calibri" w:eastAsia="Calibri" w:hAnsi="Calibri" w:cs="Calibri"/>
              </w:rPr>
              <w:lastRenderedPageBreak/>
              <w:t xml:space="preserve">stickers  can be of two </w:t>
            </w:r>
            <w:proofErr w:type="spellStart"/>
            <w:r>
              <w:rPr>
                <w:rFonts w:ascii="Calibri" w:eastAsia="Calibri" w:hAnsi="Calibri" w:cs="Calibri"/>
              </w:rPr>
              <w:t>colours</w:t>
            </w:r>
            <w:proofErr w:type="spellEnd"/>
            <w:r>
              <w:rPr>
                <w:rFonts w:ascii="Calibri" w:eastAsia="Calibri" w:hAnsi="Calibri" w:cs="Calibri"/>
              </w:rPr>
              <w:t xml:space="preserve"> to express their agreement or disagreement about the topic. 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After watching Video 2- participants perform “Mock Debate” based on any topic that interests them. They will be divided into 2 teams and present their claim and evidence to support their ideas. 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Based on Video 3 content participants look at the question examples and working in small groups choose any topic and make their own question examples. 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114300" distB="114300" distL="114300" distR="114300" wp14:anchorId="22585BBF" wp14:editId="32C475CB">
                  <wp:extent cx="3943350" cy="249999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853" cy="25003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</w:t>
            </w:r>
          </w:p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>
            <w:pPr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60 minutes </w:t>
            </w:r>
          </w:p>
        </w:tc>
      </w:tr>
      <w:tr w:rsidR="00064A8A" w:rsidTr="00064A8A">
        <w:trPr>
          <w:trHeight w:val="573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6. Elicit performance (practice)</w:t>
            </w:r>
          </w:p>
        </w:tc>
        <w:tc>
          <w:tcPr>
            <w:tcW w:w="672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Ask students: </w:t>
            </w:r>
          </w:p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• Did the question stimulate much discussion? Why? Why not? </w:t>
            </w:r>
          </w:p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• How could the question be improved to be a better discussion question?</w:t>
            </w:r>
          </w:p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114300" distB="114300" distL="114300" distR="114300" wp14:anchorId="2BC451DD" wp14:editId="258549B4">
                  <wp:extent cx="4048125" cy="2647769"/>
                  <wp:effectExtent l="0" t="0" r="0" b="635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868" cy="26652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4A8A" w:rsidRDefault="00064A8A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-Create a list of debate topics that align with your curricula. Post a “Bucket of Prompts”. (individually)</w:t>
            </w:r>
          </w:p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>
            <w:pPr>
              <w:rPr>
                <w:rFonts w:ascii="Calibri" w:eastAsia="Calibri" w:hAnsi="Calibri" w:cs="Calibri"/>
              </w:rPr>
            </w:pPr>
          </w:p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  <w:p w:rsidR="00064A8A" w:rsidRDefault="00064A8A" w:rsidP="00064A8A">
            <w:pPr>
              <w:ind w:left="91" w:hanging="1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minutes </w:t>
            </w:r>
          </w:p>
        </w:tc>
      </w:tr>
      <w:tr w:rsidR="00064A8A" w:rsidTr="00064A8A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Provide feedback</w:t>
            </w:r>
          </w:p>
        </w:tc>
        <w:tc>
          <w:tcPr>
            <w:tcW w:w="672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PQP based on the group presentations.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 w:rsidP="00064A8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  <w:p w:rsidR="00064A8A" w:rsidRDefault="00064A8A" w:rsidP="00064A8A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minutes </w:t>
            </w:r>
          </w:p>
        </w:tc>
      </w:tr>
      <w:tr w:rsidR="00064A8A" w:rsidTr="00064A8A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 Assess performance</w:t>
            </w:r>
          </w:p>
        </w:tc>
        <w:tc>
          <w:tcPr>
            <w:tcW w:w="672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Participants fill in their foldables.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 w:rsidP="00064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 minutes </w:t>
            </w:r>
          </w:p>
        </w:tc>
      </w:tr>
      <w:tr w:rsidR="00064A8A" w:rsidTr="00064A8A">
        <w:trPr>
          <w:trHeight w:val="10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 Enhance retention and transfer</w:t>
            </w:r>
          </w:p>
        </w:tc>
        <w:tc>
          <w:tcPr>
            <w:tcW w:w="6720" w:type="dxa"/>
            <w:gridSpan w:val="2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4A8A" w:rsidRDefault="00064A8A">
            <w:pPr>
              <w:ind w:left="100"/>
              <w:rPr>
                <w:color w:val="212121"/>
              </w:rPr>
            </w:pPr>
            <w:r>
              <w:rPr>
                <w:rFonts w:ascii="Calibri" w:eastAsia="Calibri" w:hAnsi="Calibri" w:cs="Calibri"/>
              </w:rPr>
              <w:t xml:space="preserve">Before participants leave the workshops, ask them to write 3 things they have learned today.  </w:t>
            </w:r>
          </w:p>
          <w:p w:rsidR="00064A8A" w:rsidRDefault="00064A8A">
            <w:pPr>
              <w:ind w:left="100"/>
              <w:rPr>
                <w:color w:val="212121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A8A" w:rsidRDefault="00064A8A" w:rsidP="00064A8A">
            <w:pPr>
              <w:ind w:left="-30" w:firstLine="130"/>
              <w:rPr>
                <w:color w:val="212121"/>
              </w:rPr>
            </w:pPr>
            <w:r>
              <w:rPr>
                <w:color w:val="212121"/>
              </w:rPr>
              <w:t xml:space="preserve">15 minutes </w:t>
            </w:r>
          </w:p>
        </w:tc>
      </w:tr>
    </w:tbl>
    <w:p w:rsidR="00B75B32" w:rsidRDefault="00B75B3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B75B32" w:rsidRDefault="00246609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</w:t>
      </w:r>
    </w:p>
    <w:p w:rsidR="00B75B32" w:rsidRDefault="00B75B3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B75B32" w:rsidRDefault="00B75B3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B75B32" w:rsidRDefault="00B75B32"/>
    <w:sectPr w:rsidR="00B75B32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6609" w:rsidRDefault="00246609">
      <w:pPr>
        <w:spacing w:line="240" w:lineRule="auto"/>
      </w:pPr>
      <w:r>
        <w:separator/>
      </w:r>
    </w:p>
  </w:endnote>
  <w:endnote w:type="continuationSeparator" w:id="0">
    <w:p w:rsidR="00246609" w:rsidRDefault="00246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5B32" w:rsidRDefault="00B75B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6609" w:rsidRDefault="00246609">
      <w:pPr>
        <w:spacing w:line="240" w:lineRule="auto"/>
      </w:pPr>
      <w:r>
        <w:separator/>
      </w:r>
    </w:p>
  </w:footnote>
  <w:footnote w:type="continuationSeparator" w:id="0">
    <w:p w:rsidR="00246609" w:rsidRDefault="002466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26666"/>
    <w:multiLevelType w:val="multilevel"/>
    <w:tmpl w:val="35985942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8A1227"/>
    <w:multiLevelType w:val="multilevel"/>
    <w:tmpl w:val="290031BA"/>
    <w:lvl w:ilvl="0">
      <w:start w:val="1"/>
      <w:numFmt w:val="bullet"/>
      <w:lvlText w:val="■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B32"/>
    <w:rsid w:val="00064A8A"/>
    <w:rsid w:val="00246609"/>
    <w:rsid w:val="00B7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F29D"/>
  <w15:docId w15:val="{65BDD69C-807D-4948-A1D0-13B099E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6mxpe0Va3rTTqSqoXyHcvLD8Q==">AMUW2mVkZ8QBpVip9HwoF3afxOIyrwWgvu7hzPlKt5ytVxYSS4CGxOHXE5IdG9sYpJ5xRP/5DpIPvPA9inti29lEHL4x27isxYcdLGvFc2qR4xAHIqwK9AY=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2022-01-17T16:18:00Z</dcterms:created>
  <dcterms:modified xsi:type="dcterms:W3CDTF">2022-01-17T16:25:00Z</dcterms:modified>
</cp:coreProperties>
</file>